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A" w:rsidRPr="008527EB" w:rsidRDefault="00422BD4" w:rsidP="008527EB">
      <w:pPr>
        <w:pStyle w:val="Heading1"/>
        <w:spacing w:before="0" w:after="20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E-</w:t>
      </w:r>
      <w:r w:rsidR="007A6EBC" w:rsidRPr="008527EB">
        <w:rPr>
          <w:rFonts w:asciiTheme="minorHAnsi" w:hAnsiTheme="minorHAnsi"/>
          <w:color w:val="auto"/>
        </w:rPr>
        <w:t>Portfolio Assessment</w:t>
      </w:r>
      <w:r w:rsidR="002F03CE">
        <w:rPr>
          <w:rFonts w:asciiTheme="minorHAnsi" w:hAnsiTheme="minorHAnsi"/>
          <w:color w:val="auto"/>
        </w:rPr>
        <w:t xml:space="preserve"> as of Spring 2018</w:t>
      </w:r>
      <w:bookmarkStart w:id="0" w:name="_GoBack"/>
      <w:bookmarkEnd w:id="0"/>
    </w:p>
    <w:p w:rsidR="007A6EBC" w:rsidRDefault="007A6EBC" w:rsidP="007A6EBC">
      <w:pPr>
        <w:spacing w:after="0"/>
        <w:rPr>
          <w:b/>
        </w:rPr>
      </w:pPr>
      <w:r w:rsidRPr="007A6EBC">
        <w:rPr>
          <w:b/>
        </w:rPr>
        <w:t>Background</w:t>
      </w:r>
    </w:p>
    <w:p w:rsidR="007A6EBC" w:rsidRDefault="00422BD4" w:rsidP="001E0924">
      <w:r>
        <w:t>The e-p</w:t>
      </w:r>
      <w:r w:rsidR="007A6EBC">
        <w:t xml:space="preserve">ortfolio replaced the comprehensive exam in </w:t>
      </w:r>
      <w:proofErr w:type="gramStart"/>
      <w:r w:rsidR="007A6EBC">
        <w:t>Spring</w:t>
      </w:r>
      <w:proofErr w:type="gramEnd"/>
      <w:r w:rsidR="007A6EBC">
        <w:t xml:space="preserve"> 2013 as the end-of-program assessment for the MS </w:t>
      </w:r>
      <w:r w:rsidR="00EF3F32">
        <w:t>LIS</w:t>
      </w:r>
      <w:r w:rsidR="0033680D">
        <w:t xml:space="preserve"> program</w:t>
      </w:r>
      <w:r w:rsidR="00EF3F32">
        <w:t>. The main section in the e</w:t>
      </w:r>
      <w:r>
        <w:t>-p</w:t>
      </w:r>
      <w:r w:rsidR="007A6EBC">
        <w:t xml:space="preserve">ortfolio covers the </w:t>
      </w:r>
      <w:r w:rsidR="003F0343">
        <w:t xml:space="preserve">eight </w:t>
      </w:r>
      <w:r w:rsidR="007A6EBC">
        <w:t>program goals</w:t>
      </w:r>
      <w:r w:rsidR="003F0343">
        <w:t>, which are based on the eight core competencies</w:t>
      </w:r>
      <w:r>
        <w:t xml:space="preserve"> </w:t>
      </w:r>
      <w:r w:rsidR="003F0343">
        <w:t>of the American Library Association (ALA)</w:t>
      </w:r>
      <w:r>
        <w:rPr>
          <w:rStyle w:val="FootnoteReference"/>
        </w:rPr>
        <w:footnoteReference w:id="1"/>
      </w:r>
      <w:r w:rsidR="007A6EBC">
        <w:t>. In this section students provide evidence</w:t>
      </w:r>
      <w:r w:rsidR="003F0343">
        <w:t xml:space="preserve"> from their coursework </w:t>
      </w:r>
      <w:r w:rsidR="0033680D">
        <w:t xml:space="preserve">(i.e. assignments and </w:t>
      </w:r>
      <w:r w:rsidR="003F0343">
        <w:t>projects</w:t>
      </w:r>
      <w:r w:rsidR="0033680D">
        <w:t>)</w:t>
      </w:r>
      <w:r w:rsidR="003F0343">
        <w:t xml:space="preserve"> and write</w:t>
      </w:r>
      <w:r w:rsidR="007A6EBC">
        <w:t xml:space="preserve"> reflections </w:t>
      </w:r>
      <w:r w:rsidR="003F0343">
        <w:t>for each goal explaining how their learning from the evidence satisfies the respective program goal.</w:t>
      </w:r>
      <w:r w:rsidR="007A6EBC">
        <w:t xml:space="preserve"> </w:t>
      </w:r>
      <w:r w:rsidR="00EF3F32">
        <w:t xml:space="preserve">Each </w:t>
      </w:r>
      <w:r>
        <w:t>e-portfolio</w:t>
      </w:r>
      <w:r w:rsidR="000A56BC">
        <w:t xml:space="preserve"> is reviewed independently by two </w:t>
      </w:r>
      <w:r w:rsidR="00EF3F32">
        <w:t xml:space="preserve">DLIS </w:t>
      </w:r>
      <w:r w:rsidR="000A56BC">
        <w:t xml:space="preserve">faculty. </w:t>
      </w:r>
      <w:r w:rsidR="00621E73">
        <w:t xml:space="preserve">The minimum grade to “pass” the </w:t>
      </w:r>
      <w:r>
        <w:t>e-portfolio</w:t>
      </w:r>
      <w:r w:rsidR="00621E73">
        <w:t xml:space="preserve"> assessment is 80</w:t>
      </w:r>
      <w:r w:rsidR="006B28B6">
        <w:t>%</w:t>
      </w:r>
      <w:r w:rsidR="00621E73">
        <w:t xml:space="preserve">. </w:t>
      </w:r>
      <w:r w:rsidR="000A56BC">
        <w:t xml:space="preserve">If the </w:t>
      </w:r>
      <w:r w:rsidR="00A70D79">
        <w:t xml:space="preserve">outcomes (Pass/Fail) </w:t>
      </w:r>
      <w:r w:rsidR="00621E73">
        <w:t>from</w:t>
      </w:r>
      <w:r w:rsidR="00A70D79">
        <w:t xml:space="preserve"> the </w:t>
      </w:r>
      <w:r w:rsidR="000A56BC">
        <w:t>two reviewers differ</w:t>
      </w:r>
      <w:r w:rsidR="00A70D79">
        <w:t>,</w:t>
      </w:r>
      <w:r w:rsidR="000A56BC">
        <w:t xml:space="preserve"> a third faculty member is assigned by the Dir</w:t>
      </w:r>
      <w:r w:rsidR="0033680D">
        <w:t xml:space="preserve">ector to review the </w:t>
      </w:r>
      <w:r>
        <w:t>e-portfolio</w:t>
      </w:r>
      <w:r w:rsidR="000A56BC">
        <w:t xml:space="preserve"> </w:t>
      </w:r>
      <w:r w:rsidR="00621E73">
        <w:t>and render a decision</w:t>
      </w:r>
      <w:r w:rsidR="000A56BC">
        <w:t>.</w:t>
      </w:r>
      <w:r w:rsidR="00621E73">
        <w:t xml:space="preserve"> </w:t>
      </w:r>
      <w:r w:rsidR="006B28B6">
        <w:t xml:space="preserve">E-Portfolio reviews coincide with the annual graduation cycle – </w:t>
      </w:r>
      <w:proofErr w:type="gramStart"/>
      <w:r w:rsidR="006B28B6">
        <w:t>Summer</w:t>
      </w:r>
      <w:proofErr w:type="gramEnd"/>
      <w:r w:rsidR="006B28B6">
        <w:t xml:space="preserve">, Fall, Spring. </w:t>
      </w:r>
      <w:proofErr w:type="spellStart"/>
      <w:r w:rsidR="00621E73">
        <w:t>Digication</w:t>
      </w:r>
      <w:proofErr w:type="spellEnd"/>
      <w:r w:rsidR="00621E73">
        <w:t xml:space="preserve"> is the platform used by the students to create their </w:t>
      </w:r>
      <w:r>
        <w:t>e-portfolio</w:t>
      </w:r>
      <w:r w:rsidR="00621E73">
        <w:t>s.</w:t>
      </w:r>
    </w:p>
    <w:p w:rsidR="00F74971" w:rsidRDefault="00F74971" w:rsidP="00F74971">
      <w:r>
        <w:t xml:space="preserve">To ensure student understanding of the e-portfolio end-of-program assessment and the use of its development platform </w:t>
      </w:r>
      <w:proofErr w:type="spellStart"/>
      <w:r>
        <w:t>Digication</w:t>
      </w:r>
      <w:proofErr w:type="spellEnd"/>
      <w:r>
        <w:t xml:space="preserve">, current policy (listed below) informs students at the start of their programs and during each term. </w:t>
      </w:r>
    </w:p>
    <w:p w:rsidR="00F74971" w:rsidRDefault="00F74971" w:rsidP="00F74971">
      <w:pPr>
        <w:pStyle w:val="ListParagraph"/>
        <w:numPr>
          <w:ilvl w:val="0"/>
          <w:numId w:val="1"/>
        </w:numPr>
        <w:spacing w:after="0"/>
      </w:pPr>
      <w:r>
        <w:t>Students are introduced to the e-portfolio in the very beginning of the program, at the new student orientation.</w:t>
      </w:r>
    </w:p>
    <w:p w:rsidR="00F74971" w:rsidRDefault="00F74971" w:rsidP="00F74971">
      <w:pPr>
        <w:pStyle w:val="ListParagraph"/>
        <w:numPr>
          <w:ilvl w:val="0"/>
          <w:numId w:val="1"/>
        </w:numPr>
        <w:spacing w:after="0"/>
      </w:pPr>
      <w:r>
        <w:t xml:space="preserve">Workshops on the e-portfolio and the technology platform, </w:t>
      </w:r>
      <w:proofErr w:type="spellStart"/>
      <w:r>
        <w:t>Digication</w:t>
      </w:r>
      <w:proofErr w:type="spellEnd"/>
      <w:r>
        <w:t>, are offered each semester.</w:t>
      </w:r>
    </w:p>
    <w:p w:rsidR="00F74971" w:rsidRDefault="00F74971" w:rsidP="00F74971">
      <w:pPr>
        <w:pStyle w:val="ListParagraph"/>
        <w:numPr>
          <w:ilvl w:val="0"/>
          <w:numId w:val="1"/>
        </w:numPr>
        <w:spacing w:after="0"/>
      </w:pPr>
      <w:r>
        <w:t xml:space="preserve">Assignments in one core courses provide practice in using </w:t>
      </w:r>
      <w:proofErr w:type="spellStart"/>
      <w:r>
        <w:t>Digication</w:t>
      </w:r>
      <w:proofErr w:type="spellEnd"/>
      <w:r>
        <w:t>.</w:t>
      </w:r>
    </w:p>
    <w:p w:rsidR="00F74971" w:rsidRDefault="00F74971" w:rsidP="00F74971">
      <w:pPr>
        <w:pStyle w:val="ListParagraph"/>
        <w:numPr>
          <w:ilvl w:val="0"/>
          <w:numId w:val="1"/>
        </w:numPr>
      </w:pPr>
      <w:r>
        <w:t xml:space="preserve">The </w:t>
      </w:r>
      <w:r w:rsidR="00947A5C">
        <w:t xml:space="preserve">e-portfolio </w:t>
      </w:r>
      <w:r>
        <w:t>assessment rubric is available to the students.</w:t>
      </w:r>
    </w:p>
    <w:p w:rsidR="00947A5C" w:rsidRDefault="00947A5C" w:rsidP="00992419">
      <w:r>
        <w:t>A student failing the e-portfolio assessment meets</w:t>
      </w:r>
      <w:r w:rsidR="006F526B">
        <w:t xml:space="preserve"> with the Director to discuss a plan to improve the e-portfolio for review</w:t>
      </w:r>
      <w:r>
        <w:t xml:space="preserve"> next term. Typically, a student doing poorly began developing the e-portfolio late in the student’s program of study. At this time, all students </w:t>
      </w:r>
      <w:r w:rsidR="006F526B">
        <w:t xml:space="preserve">who </w:t>
      </w:r>
      <w:proofErr w:type="gramStart"/>
      <w:r w:rsidR="006F526B">
        <w:t>failed</w:t>
      </w:r>
      <w:r>
        <w:t>,</w:t>
      </w:r>
      <w:proofErr w:type="gramEnd"/>
      <w:r>
        <w:t xml:space="preserve"> passed the review in the following term. </w:t>
      </w:r>
    </w:p>
    <w:p w:rsidR="007A6EBC" w:rsidRPr="00C61B3F" w:rsidRDefault="00327C39" w:rsidP="00327C39">
      <w:pPr>
        <w:spacing w:after="0"/>
        <w:rPr>
          <w:b/>
        </w:rPr>
      </w:pPr>
      <w:r w:rsidRPr="00C61B3F">
        <w:rPr>
          <w:b/>
        </w:rPr>
        <w:t>Summary</w:t>
      </w:r>
    </w:p>
    <w:p w:rsidR="00AF6217" w:rsidRDefault="00327C39" w:rsidP="00AF6217">
      <w:r>
        <w:t xml:space="preserve">The results </w:t>
      </w:r>
      <w:r w:rsidR="00077914">
        <w:t xml:space="preserve">since inception </w:t>
      </w:r>
      <w:r>
        <w:t xml:space="preserve">are summarized in Table </w:t>
      </w:r>
      <w:r w:rsidR="00077914">
        <w:t xml:space="preserve">1. </w:t>
      </w:r>
      <w:r w:rsidR="00B97BB2">
        <w:t xml:space="preserve">An academic year in the table consists of all reviews in that year’s graduation cycle. </w:t>
      </w:r>
      <w:r w:rsidR="008D0FCF">
        <w:t>The average difference statistic (Ave Diff) measures t</w:t>
      </w:r>
      <w:r w:rsidR="00947A5C">
        <w:t>he consistency of the grading by</w:t>
      </w:r>
      <w:r w:rsidR="008D0FCF">
        <w:t xml:space="preserve"> the two reviewers. A high Ave Diff statistic may indicate different expectations among the faculty.</w:t>
      </w:r>
    </w:p>
    <w:p w:rsidR="0086168E" w:rsidRDefault="00077914" w:rsidP="001501B7">
      <w:r>
        <w:t>The</w:t>
      </w:r>
      <w:r w:rsidR="00691726">
        <w:t xml:space="preserve"> overall pass rate</w:t>
      </w:r>
      <w:r w:rsidR="008D0FCF">
        <w:t xml:space="preserve"> (Table 2) since 2013, 96</w:t>
      </w:r>
      <w:r w:rsidR="00F23EDD">
        <w:t>.</w:t>
      </w:r>
      <w:r w:rsidR="00691726">
        <w:t>6</w:t>
      </w:r>
      <w:r w:rsidR="00F23EDD">
        <w:t>%, is close to the target</w:t>
      </w:r>
      <w:r>
        <w:t xml:space="preserve"> pass rate of 100%</w:t>
      </w:r>
      <w:r w:rsidR="000F6E8C">
        <w:t xml:space="preserve">. </w:t>
      </w:r>
      <w:r w:rsidR="00217D06">
        <w:t>The overall A</w:t>
      </w:r>
      <w:r w:rsidR="00947A5C">
        <w:t>ve Diff of</w:t>
      </w:r>
      <w:r w:rsidR="00C97A56">
        <w:t xml:space="preserve"> </w:t>
      </w:r>
      <w:proofErr w:type="gramStart"/>
      <w:r w:rsidR="00C97A56">
        <w:t>6.3</w:t>
      </w:r>
      <w:r w:rsidR="00217D06">
        <w:t>,</w:t>
      </w:r>
      <w:proofErr w:type="gramEnd"/>
      <w:r w:rsidR="00217D06">
        <w:t xml:space="preserve"> </w:t>
      </w:r>
      <w:r w:rsidR="00C97A56">
        <w:t>is unchanged from last year.</w:t>
      </w:r>
      <w:r w:rsidR="00D7771F">
        <w:t xml:space="preserve"> </w:t>
      </w:r>
    </w:p>
    <w:p w:rsidR="006F526B" w:rsidRDefault="006F52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2BD4" w:rsidRDefault="00422BD4" w:rsidP="00E667EF">
      <w:pPr>
        <w:spacing w:after="60"/>
      </w:pPr>
      <w:proofErr w:type="gramStart"/>
      <w:r>
        <w:rPr>
          <w:b/>
          <w:sz w:val="24"/>
          <w:szCs w:val="24"/>
        </w:rPr>
        <w:lastRenderedPageBreak/>
        <w:t>Table 1.</w:t>
      </w:r>
      <w:proofErr w:type="gramEnd"/>
      <w:r>
        <w:rPr>
          <w:b/>
          <w:sz w:val="24"/>
          <w:szCs w:val="24"/>
        </w:rPr>
        <w:t xml:space="preserve"> </w:t>
      </w:r>
      <w:r w:rsidR="00E667EF">
        <w:rPr>
          <w:b/>
          <w:sz w:val="24"/>
          <w:szCs w:val="24"/>
        </w:rPr>
        <w:t>E-P</w:t>
      </w:r>
      <w:r>
        <w:rPr>
          <w:b/>
          <w:sz w:val="24"/>
          <w:szCs w:val="24"/>
        </w:rPr>
        <w:t>ortfolio</w:t>
      </w:r>
      <w:r w:rsidRPr="00327C39">
        <w:rPr>
          <w:b/>
          <w:sz w:val="24"/>
          <w:szCs w:val="24"/>
        </w:rPr>
        <w:t xml:space="preserve"> Summary</w:t>
      </w:r>
    </w:p>
    <w:tbl>
      <w:tblPr>
        <w:tblStyle w:val="TableGrid"/>
        <w:tblW w:w="9383" w:type="dxa"/>
        <w:jc w:val="center"/>
        <w:tblInd w:w="-529" w:type="dxa"/>
        <w:tblLook w:val="04A0" w:firstRow="1" w:lastRow="0" w:firstColumn="1" w:lastColumn="0" w:noHBand="0" w:noVBand="1"/>
      </w:tblPr>
      <w:tblGrid>
        <w:gridCol w:w="1987"/>
        <w:gridCol w:w="1237"/>
        <w:gridCol w:w="1237"/>
        <w:gridCol w:w="1237"/>
        <w:gridCol w:w="1237"/>
        <w:gridCol w:w="1236"/>
        <w:gridCol w:w="1212"/>
      </w:tblGrid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37" w:type="dxa"/>
          </w:tcPr>
          <w:p w:rsidR="00422BD4" w:rsidRDefault="00E667EF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2014-2015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2013</w:t>
            </w:r>
            <w:r>
              <w:rPr>
                <w:rFonts w:eastAsia="Times New Roman" w:cs="Times New Roman"/>
                <w:b/>
                <w:bCs/>
                <w:color w:val="000000"/>
              </w:rPr>
              <w:t>-2014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Spring 2013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37" w:type="dxa"/>
          </w:tcPr>
          <w:p w:rsidR="00422BD4" w:rsidRDefault="006864A7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F28"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Total passed</w:t>
            </w:r>
          </w:p>
        </w:tc>
        <w:tc>
          <w:tcPr>
            <w:tcW w:w="1237" w:type="dxa"/>
          </w:tcPr>
          <w:p w:rsidR="00422BD4" w:rsidRDefault="006864A7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F28"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Pass rate</w:t>
            </w:r>
          </w:p>
        </w:tc>
        <w:tc>
          <w:tcPr>
            <w:tcW w:w="1237" w:type="dxa"/>
          </w:tcPr>
          <w:p w:rsidR="00422BD4" w:rsidRDefault="00531175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92%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92%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Pr="00411F28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94</w:t>
            </w:r>
            <w:r w:rsidRPr="00411F28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Pr="00411F28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Average (all portfolios)</w:t>
            </w:r>
          </w:p>
        </w:tc>
        <w:tc>
          <w:tcPr>
            <w:tcW w:w="1237" w:type="dxa"/>
          </w:tcPr>
          <w:p w:rsidR="00422BD4" w:rsidRDefault="00531175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89.3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93%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93%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93%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89%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93.1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Average (wo failures)</w:t>
            </w:r>
          </w:p>
        </w:tc>
        <w:tc>
          <w:tcPr>
            <w:tcW w:w="1237" w:type="dxa"/>
          </w:tcPr>
          <w:p w:rsidR="00422BD4" w:rsidRDefault="00531175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90.5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93%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95%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93%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92%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93.1</w:t>
            </w:r>
          </w:p>
        </w:tc>
      </w:tr>
      <w:tr w:rsidR="00422BD4" w:rsidRPr="00411F28" w:rsidTr="00E667EF">
        <w:trPr>
          <w:trHeight w:val="516"/>
          <w:jc w:val="center"/>
        </w:trPr>
        <w:tc>
          <w:tcPr>
            <w:tcW w:w="198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Ave Diff</w:t>
            </w:r>
          </w:p>
        </w:tc>
        <w:tc>
          <w:tcPr>
            <w:tcW w:w="1237" w:type="dxa"/>
          </w:tcPr>
          <w:p w:rsidR="00422BD4" w:rsidRDefault="00827865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6.7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5.0</w:t>
            </w:r>
          </w:p>
        </w:tc>
        <w:tc>
          <w:tcPr>
            <w:tcW w:w="1237" w:type="dxa"/>
          </w:tcPr>
          <w:p w:rsidR="00422BD4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5.3</w:t>
            </w:r>
          </w:p>
        </w:tc>
        <w:tc>
          <w:tcPr>
            <w:tcW w:w="1237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7.5</w:t>
            </w:r>
          </w:p>
        </w:tc>
        <w:tc>
          <w:tcPr>
            <w:tcW w:w="1236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8.5</w:t>
            </w:r>
          </w:p>
        </w:tc>
        <w:tc>
          <w:tcPr>
            <w:tcW w:w="1212" w:type="dxa"/>
            <w:noWrap/>
            <w:hideMark/>
          </w:tcPr>
          <w:p w:rsidR="00422BD4" w:rsidRPr="00411F28" w:rsidRDefault="00422BD4" w:rsidP="00D6406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5.5</w:t>
            </w:r>
          </w:p>
        </w:tc>
      </w:tr>
    </w:tbl>
    <w:p w:rsidR="009D7B79" w:rsidRDefault="00E667EF" w:rsidP="00E667EF">
      <w:pPr>
        <w:spacing w:before="400" w:after="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Table 2.</w:t>
      </w:r>
      <w:proofErr w:type="gramEnd"/>
      <w:r>
        <w:rPr>
          <w:b/>
          <w:sz w:val="24"/>
          <w:szCs w:val="24"/>
        </w:rPr>
        <w:t xml:space="preserve"> Overall Statistics</w:t>
      </w:r>
    </w:p>
    <w:tbl>
      <w:tblPr>
        <w:tblStyle w:val="TableGrid"/>
        <w:tblW w:w="9402" w:type="dxa"/>
        <w:jc w:val="center"/>
        <w:tblInd w:w="174" w:type="dxa"/>
        <w:tblLook w:val="04A0" w:firstRow="1" w:lastRow="0" w:firstColumn="1" w:lastColumn="0" w:noHBand="0" w:noVBand="1"/>
      </w:tblPr>
      <w:tblGrid>
        <w:gridCol w:w="2651"/>
        <w:gridCol w:w="2221"/>
        <w:gridCol w:w="2265"/>
        <w:gridCol w:w="2265"/>
      </w:tblGrid>
      <w:tr w:rsidR="00216711" w:rsidTr="00216711">
        <w:trPr>
          <w:trHeight w:val="516"/>
          <w:jc w:val="center"/>
        </w:trPr>
        <w:tc>
          <w:tcPr>
            <w:tcW w:w="2651" w:type="dxa"/>
            <w:noWrap/>
            <w:vAlign w:val="center"/>
            <w:hideMark/>
          </w:tcPr>
          <w:p w:rsidR="00216711" w:rsidRPr="00411F28" w:rsidRDefault="00216711" w:rsidP="00E667E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21" w:type="dxa"/>
            <w:vAlign w:val="center"/>
          </w:tcPr>
          <w:p w:rsidR="00216711" w:rsidRDefault="00216711" w:rsidP="0021671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2013-2018</w:t>
            </w:r>
          </w:p>
        </w:tc>
        <w:tc>
          <w:tcPr>
            <w:tcW w:w="2265" w:type="dxa"/>
            <w:vAlign w:val="center"/>
          </w:tcPr>
          <w:p w:rsidR="00216711" w:rsidRDefault="00216711" w:rsidP="0021671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2013-2017</w:t>
            </w:r>
          </w:p>
        </w:tc>
        <w:tc>
          <w:tcPr>
            <w:tcW w:w="2265" w:type="dxa"/>
            <w:vAlign w:val="center"/>
          </w:tcPr>
          <w:p w:rsidR="00216711" w:rsidRDefault="00216711" w:rsidP="0021671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2013-2016</w:t>
            </w:r>
          </w:p>
        </w:tc>
      </w:tr>
      <w:tr w:rsidR="00216711" w:rsidTr="00216711">
        <w:trPr>
          <w:trHeight w:val="516"/>
          <w:jc w:val="center"/>
        </w:trPr>
        <w:tc>
          <w:tcPr>
            <w:tcW w:w="2651" w:type="dxa"/>
            <w:noWrap/>
            <w:vAlign w:val="center"/>
            <w:hideMark/>
          </w:tcPr>
          <w:p w:rsidR="00216711" w:rsidRPr="00411F28" w:rsidRDefault="00216711" w:rsidP="00E667EF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221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149</w:t>
            </w:r>
          </w:p>
        </w:tc>
        <w:tc>
          <w:tcPr>
            <w:tcW w:w="2265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2265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216711" w:rsidTr="00216711">
        <w:trPr>
          <w:trHeight w:val="516"/>
          <w:jc w:val="center"/>
        </w:trPr>
        <w:tc>
          <w:tcPr>
            <w:tcW w:w="2651" w:type="dxa"/>
            <w:noWrap/>
            <w:vAlign w:val="center"/>
            <w:hideMark/>
          </w:tcPr>
          <w:p w:rsidR="00216711" w:rsidRPr="00411F28" w:rsidRDefault="00216711" w:rsidP="00E667EF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Total passed</w:t>
            </w:r>
          </w:p>
        </w:tc>
        <w:tc>
          <w:tcPr>
            <w:tcW w:w="2221" w:type="dxa"/>
          </w:tcPr>
          <w:p w:rsidR="00216711" w:rsidRDefault="00216711" w:rsidP="0021671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144</w:t>
            </w:r>
          </w:p>
        </w:tc>
        <w:tc>
          <w:tcPr>
            <w:tcW w:w="2265" w:type="dxa"/>
          </w:tcPr>
          <w:p w:rsidR="00216711" w:rsidRDefault="00216711" w:rsidP="00C07A4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122</w:t>
            </w:r>
          </w:p>
        </w:tc>
        <w:tc>
          <w:tcPr>
            <w:tcW w:w="2265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</w:t>
            </w:r>
          </w:p>
        </w:tc>
      </w:tr>
      <w:tr w:rsidR="00216711" w:rsidTr="00216711">
        <w:trPr>
          <w:trHeight w:val="516"/>
          <w:jc w:val="center"/>
        </w:trPr>
        <w:tc>
          <w:tcPr>
            <w:tcW w:w="2651" w:type="dxa"/>
            <w:noWrap/>
            <w:vAlign w:val="center"/>
            <w:hideMark/>
          </w:tcPr>
          <w:p w:rsidR="00216711" w:rsidRPr="00411F28" w:rsidRDefault="00216711" w:rsidP="00E667EF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Pass rate</w:t>
            </w:r>
          </w:p>
        </w:tc>
        <w:tc>
          <w:tcPr>
            <w:tcW w:w="2221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96.6%</w:t>
            </w:r>
          </w:p>
        </w:tc>
        <w:tc>
          <w:tcPr>
            <w:tcW w:w="2265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97.6%</w:t>
            </w:r>
          </w:p>
        </w:tc>
        <w:tc>
          <w:tcPr>
            <w:tcW w:w="2265" w:type="dxa"/>
          </w:tcPr>
          <w:p w:rsidR="00216711" w:rsidRDefault="00216711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96.8%</w:t>
            </w:r>
          </w:p>
        </w:tc>
      </w:tr>
      <w:tr w:rsidR="00216711" w:rsidTr="00216711">
        <w:trPr>
          <w:trHeight w:val="516"/>
          <w:jc w:val="center"/>
        </w:trPr>
        <w:tc>
          <w:tcPr>
            <w:tcW w:w="2651" w:type="dxa"/>
            <w:noWrap/>
            <w:vAlign w:val="center"/>
            <w:hideMark/>
          </w:tcPr>
          <w:p w:rsidR="00216711" w:rsidRPr="00411F28" w:rsidRDefault="00216711" w:rsidP="00E667EF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411F28">
              <w:rPr>
                <w:rFonts w:eastAsia="Times New Roman" w:cs="Times New Roman"/>
                <w:b/>
                <w:bCs/>
                <w:color w:val="000000"/>
              </w:rPr>
              <w:t>Ave Diff</w:t>
            </w:r>
          </w:p>
        </w:tc>
        <w:tc>
          <w:tcPr>
            <w:tcW w:w="2221" w:type="dxa"/>
          </w:tcPr>
          <w:p w:rsidR="003F2DB7" w:rsidRDefault="0001349D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6.3</w:t>
            </w:r>
          </w:p>
        </w:tc>
        <w:tc>
          <w:tcPr>
            <w:tcW w:w="2265" w:type="dxa"/>
          </w:tcPr>
          <w:p w:rsidR="00216711" w:rsidRDefault="0001349D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6.3</w:t>
            </w:r>
          </w:p>
        </w:tc>
        <w:tc>
          <w:tcPr>
            <w:tcW w:w="2265" w:type="dxa"/>
          </w:tcPr>
          <w:p w:rsidR="00216711" w:rsidRDefault="0001349D" w:rsidP="003F2D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6.7</w:t>
            </w:r>
          </w:p>
        </w:tc>
      </w:tr>
    </w:tbl>
    <w:p w:rsidR="00FB0485" w:rsidRDefault="007856F7" w:rsidP="00E667EF">
      <w:pPr>
        <w:spacing w:before="400"/>
      </w:pPr>
      <w:r>
        <w:t>F</w:t>
      </w:r>
      <w:r w:rsidR="004760E5">
        <w:t>eedback</w:t>
      </w:r>
      <w:r>
        <w:t xml:space="preserve"> from students, </w:t>
      </w:r>
      <w:r w:rsidR="00583213">
        <w:t>faculty</w:t>
      </w:r>
      <w:r>
        <w:t xml:space="preserve">, alumni, and information professionals at </w:t>
      </w:r>
      <w:r w:rsidR="00583213">
        <w:t xml:space="preserve">meetings </w:t>
      </w:r>
      <w:r>
        <w:t xml:space="preserve">and </w:t>
      </w:r>
      <w:r w:rsidR="001124CE">
        <w:t xml:space="preserve">conferences </w:t>
      </w:r>
      <w:r w:rsidR="004760E5">
        <w:t xml:space="preserve">confirm the value of the </w:t>
      </w:r>
      <w:r w:rsidR="00422BD4">
        <w:t>e-portfolio</w:t>
      </w:r>
      <w:r w:rsidR="00583213">
        <w:t xml:space="preserve"> as a </w:t>
      </w:r>
      <w:r>
        <w:t xml:space="preserve">measure of student learning, </w:t>
      </w:r>
      <w:r w:rsidR="006F526B">
        <w:t xml:space="preserve">for </w:t>
      </w:r>
      <w:r w:rsidR="00583213">
        <w:t>program assessment</w:t>
      </w:r>
      <w:r>
        <w:t xml:space="preserve">, and </w:t>
      </w:r>
      <w:r w:rsidR="006F526B">
        <w:t xml:space="preserve">in the </w:t>
      </w:r>
      <w:r w:rsidR="009F7268">
        <w:t>job</w:t>
      </w:r>
      <w:r>
        <w:t xml:space="preserve"> </w:t>
      </w:r>
      <w:r w:rsidR="009F7268">
        <w:t>search</w:t>
      </w:r>
      <w:r w:rsidR="00583213">
        <w:t xml:space="preserve">. </w:t>
      </w:r>
    </w:p>
    <w:p w:rsidR="004D6D77" w:rsidRDefault="00BB4D7F" w:rsidP="00117710">
      <w:pPr>
        <w:spacing w:after="0"/>
      </w:pPr>
      <w:r>
        <w:t xml:space="preserve">The </w:t>
      </w:r>
      <w:r w:rsidR="00E14A48">
        <w:t xml:space="preserve">e-portfolio assessment </w:t>
      </w:r>
      <w:r>
        <w:t xml:space="preserve">rubric is reviewed </w:t>
      </w:r>
      <w:r w:rsidR="00E14A48">
        <w:t>annually. N</w:t>
      </w:r>
      <w:r w:rsidR="00FB0485">
        <w:t xml:space="preserve">o substantive changes have been made in the rubric </w:t>
      </w:r>
      <w:r w:rsidR="00E14A48">
        <w:t>since its introduction in 2013. A</w:t>
      </w:r>
      <w:r w:rsidR="00FB0485">
        <w:t xml:space="preserve">ny </w:t>
      </w:r>
      <w:r w:rsidR="00E14A48">
        <w:t xml:space="preserve">significant </w:t>
      </w:r>
      <w:r w:rsidR="00FB0485">
        <w:t>change</w:t>
      </w:r>
      <w:r w:rsidR="00E14A48">
        <w:t xml:space="preserve"> in the rubric</w:t>
      </w:r>
      <w:r w:rsidR="00FB0485">
        <w:t xml:space="preserve"> would apply to students entering</w:t>
      </w:r>
      <w:r w:rsidR="00E14A48">
        <w:t xml:space="preserve"> the program immediately following</w:t>
      </w:r>
      <w:r w:rsidR="00FB0485">
        <w:t xml:space="preserve"> the change. </w:t>
      </w:r>
    </w:p>
    <w:sectPr w:rsidR="004D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B7" w:rsidRDefault="003F2DB7" w:rsidP="006B28B6">
      <w:pPr>
        <w:spacing w:after="0" w:line="240" w:lineRule="auto"/>
      </w:pPr>
      <w:r>
        <w:separator/>
      </w:r>
    </w:p>
  </w:endnote>
  <w:endnote w:type="continuationSeparator" w:id="0">
    <w:p w:rsidR="003F2DB7" w:rsidRDefault="003F2DB7" w:rsidP="006B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B7" w:rsidRDefault="003F2DB7" w:rsidP="006B28B6">
      <w:pPr>
        <w:spacing w:after="0" w:line="240" w:lineRule="auto"/>
      </w:pPr>
      <w:r>
        <w:separator/>
      </w:r>
    </w:p>
  </w:footnote>
  <w:footnote w:type="continuationSeparator" w:id="0">
    <w:p w:rsidR="003F2DB7" w:rsidRDefault="003F2DB7" w:rsidP="006B28B6">
      <w:pPr>
        <w:spacing w:after="0" w:line="240" w:lineRule="auto"/>
      </w:pPr>
      <w:r>
        <w:continuationSeparator/>
      </w:r>
    </w:p>
  </w:footnote>
  <w:footnote w:id="1">
    <w:p w:rsidR="003F2DB7" w:rsidRDefault="003F2DB7">
      <w:pPr>
        <w:pStyle w:val="FootnoteText"/>
      </w:pPr>
      <w:r>
        <w:rPr>
          <w:rStyle w:val="FootnoteReference"/>
        </w:rPr>
        <w:footnoteRef/>
      </w:r>
      <w:hyperlink r:id="rId1" w:history="1">
        <w:r w:rsidRPr="008362EE">
          <w:rPr>
            <w:rStyle w:val="Hyperlink"/>
          </w:rPr>
          <w:t>http://www.ala.org/educationcareers/sites/ala.org.educationcareers/files/content/careers/corecomp/corecompetences/finalcorecompstat09.pdf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0A8"/>
    <w:multiLevelType w:val="hybridMultilevel"/>
    <w:tmpl w:val="0F381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79"/>
    <w:rsid w:val="0001349D"/>
    <w:rsid w:val="00077914"/>
    <w:rsid w:val="000A56BC"/>
    <w:rsid w:val="000F6E8C"/>
    <w:rsid w:val="001124CE"/>
    <w:rsid w:val="00117710"/>
    <w:rsid w:val="001501B7"/>
    <w:rsid w:val="001E0924"/>
    <w:rsid w:val="00216711"/>
    <w:rsid w:val="00217D06"/>
    <w:rsid w:val="00256D75"/>
    <w:rsid w:val="00281C98"/>
    <w:rsid w:val="002F03CE"/>
    <w:rsid w:val="00316D8A"/>
    <w:rsid w:val="00323BB3"/>
    <w:rsid w:val="00327C39"/>
    <w:rsid w:val="0033680D"/>
    <w:rsid w:val="00341FA3"/>
    <w:rsid w:val="003A7F83"/>
    <w:rsid w:val="003E666F"/>
    <w:rsid w:val="003F0343"/>
    <w:rsid w:val="003F2DB7"/>
    <w:rsid w:val="00411F28"/>
    <w:rsid w:val="00422BD4"/>
    <w:rsid w:val="00440814"/>
    <w:rsid w:val="004760E5"/>
    <w:rsid w:val="004D6D77"/>
    <w:rsid w:val="00531175"/>
    <w:rsid w:val="00583213"/>
    <w:rsid w:val="00602BC3"/>
    <w:rsid w:val="00621E73"/>
    <w:rsid w:val="006864A7"/>
    <w:rsid w:val="00690BFD"/>
    <w:rsid w:val="00691726"/>
    <w:rsid w:val="006B28B6"/>
    <w:rsid w:val="006F3988"/>
    <w:rsid w:val="006F526B"/>
    <w:rsid w:val="00730625"/>
    <w:rsid w:val="007366DF"/>
    <w:rsid w:val="00763250"/>
    <w:rsid w:val="00780B3A"/>
    <w:rsid w:val="007856F7"/>
    <w:rsid w:val="007A6EBC"/>
    <w:rsid w:val="007E3AB0"/>
    <w:rsid w:val="00827865"/>
    <w:rsid w:val="008527EB"/>
    <w:rsid w:val="00857849"/>
    <w:rsid w:val="0086168E"/>
    <w:rsid w:val="008632E1"/>
    <w:rsid w:val="008719A5"/>
    <w:rsid w:val="008D0FCF"/>
    <w:rsid w:val="008E210C"/>
    <w:rsid w:val="0093188C"/>
    <w:rsid w:val="00947A5C"/>
    <w:rsid w:val="00953533"/>
    <w:rsid w:val="00974472"/>
    <w:rsid w:val="00982038"/>
    <w:rsid w:val="00992419"/>
    <w:rsid w:val="009D09B4"/>
    <w:rsid w:val="009D7B79"/>
    <w:rsid w:val="009F7268"/>
    <w:rsid w:val="00A33115"/>
    <w:rsid w:val="00A70D79"/>
    <w:rsid w:val="00AA544F"/>
    <w:rsid w:val="00AA65A6"/>
    <w:rsid w:val="00AB5A99"/>
    <w:rsid w:val="00AE7798"/>
    <w:rsid w:val="00AF6217"/>
    <w:rsid w:val="00B97BB2"/>
    <w:rsid w:val="00BA4924"/>
    <w:rsid w:val="00BB4D7F"/>
    <w:rsid w:val="00BD3CDD"/>
    <w:rsid w:val="00C07A41"/>
    <w:rsid w:val="00C13296"/>
    <w:rsid w:val="00C249B6"/>
    <w:rsid w:val="00C61B3F"/>
    <w:rsid w:val="00C97A56"/>
    <w:rsid w:val="00CA2398"/>
    <w:rsid w:val="00CE0B27"/>
    <w:rsid w:val="00D51119"/>
    <w:rsid w:val="00D57910"/>
    <w:rsid w:val="00D6406E"/>
    <w:rsid w:val="00D7653A"/>
    <w:rsid w:val="00D7771F"/>
    <w:rsid w:val="00E14A48"/>
    <w:rsid w:val="00E537BD"/>
    <w:rsid w:val="00E667EF"/>
    <w:rsid w:val="00E72012"/>
    <w:rsid w:val="00EF3F32"/>
    <w:rsid w:val="00F11795"/>
    <w:rsid w:val="00F23EDD"/>
    <w:rsid w:val="00F63616"/>
    <w:rsid w:val="00F74971"/>
    <w:rsid w:val="00FB0485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8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8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D4"/>
  </w:style>
  <w:style w:type="paragraph" w:styleId="Footer">
    <w:name w:val="footer"/>
    <w:basedOn w:val="Normal"/>
    <w:link w:val="FooterChar"/>
    <w:uiPriority w:val="99"/>
    <w:unhideWhenUsed/>
    <w:rsid w:val="0042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8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8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D4"/>
  </w:style>
  <w:style w:type="paragraph" w:styleId="Footer">
    <w:name w:val="footer"/>
    <w:basedOn w:val="Normal"/>
    <w:link w:val="FooterChar"/>
    <w:uiPriority w:val="99"/>
    <w:unhideWhenUsed/>
    <w:rsid w:val="0042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.org/educationcareers/sites/ala.org.educationcareers/files/content/careers/corecomp/corecompetences/finalcorecompstat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E624-7630-4BDD-BDFE-8225CCE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2017-06-10T14:33:00Z</cp:lastPrinted>
  <dcterms:created xsi:type="dcterms:W3CDTF">2018-10-28T23:18:00Z</dcterms:created>
  <dcterms:modified xsi:type="dcterms:W3CDTF">2018-12-11T14:43:00Z</dcterms:modified>
</cp:coreProperties>
</file>